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1151" w:rsidRPr="00E11151" w:rsidTr="00E11151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E11151" w:rsidRDefault="00E11151">
            <w:r w:rsidRPr="00E11151">
              <w:rPr>
                <w:noProof/>
                <w:lang w:eastAsia="ru-RU"/>
              </w:rPr>
              <w:drawing>
                <wp:inline distT="0" distB="0" distL="0" distR="0">
                  <wp:extent cx="6553200" cy="2533650"/>
                  <wp:effectExtent l="0" t="0" r="0" b="0"/>
                  <wp:docPr id="1" name="Рисунок 1" descr="C:\Users\Этот компьютер\Desktop\Finie\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тот компьютер\Desktop\Finie\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11151" w:rsidRPr="00E11151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>Шановні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>читачі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>!</w:t>
                  </w:r>
                </w:p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Пропонуємо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ознайомитися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з нашим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новим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двадцять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другим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випуском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Newsletter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НСЗУ!</w:t>
                  </w:r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Приємного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читання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</w:tbl>
          <w:p w:rsidR="00E11151" w:rsidRPr="00E11151" w:rsidRDefault="00E11151" w:rsidP="00E1115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E11151" w:rsidRPr="00E11151" w:rsidRDefault="00E11151" w:rsidP="00E11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1151" w:rsidRPr="00E11151" w:rsidTr="00E11151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11151" w:rsidRPr="00E11151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0076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E11151" w:rsidRPr="00E11151">
                    <w:tc>
                      <w:tcPr>
                        <w:tcW w:w="0" w:type="auto"/>
                        <w:shd w:val="clear" w:color="auto" w:fill="0076B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E11151" w:rsidRPr="00E11151" w:rsidRDefault="00E11151" w:rsidP="00E11151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E1115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27"/>
                            <w:szCs w:val="27"/>
                            <w:lang w:eastAsia="ru-RU"/>
                          </w:rPr>
                          <w:t>Н О В И Н И   Н С З У</w:t>
                        </w:r>
                      </w:p>
                    </w:tc>
                  </w:tr>
                </w:tbl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1151" w:rsidRPr="00E11151" w:rsidRDefault="00E11151" w:rsidP="00E1115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E11151" w:rsidRPr="00E11151" w:rsidRDefault="00E11151" w:rsidP="00E11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1151" w:rsidRPr="00E11151" w:rsidTr="00E11151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E11151" w:rsidRPr="00E11151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151" w:rsidRPr="00E11151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Кабінет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Міністрів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скерував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905,8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мільйонів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гривень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підтримку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лікарень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період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пандемії</w:t>
                  </w:r>
                  <w:proofErr w:type="spellEnd"/>
                </w:p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Таке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рішення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ініціювала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Національна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служба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здоров’я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зважаючи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ситуацію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поширенням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коронавірусу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905,8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мільйонів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гривень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були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перерозподілені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Програми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медичних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гарантій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Ці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кошти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призначені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підтримку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малопотужних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лікарень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час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пандемії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коронавірусу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5" w:tgtFrame="_blank" w:history="1">
                    <w:r w:rsidRPr="00E11151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E11151" w:rsidRPr="00E11151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151" w:rsidRPr="00E11151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Понад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651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мільйон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гривень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підуть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регіони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забезпечення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інсуліном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пацієнтів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діабетом</w:t>
                  </w:r>
                  <w:proofErr w:type="spellEnd"/>
                </w:p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Відповідну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Постанову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прийняв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Кабінет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Міністрів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засіданні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25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березня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Прийняття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цієї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Постанови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Національна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служба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здоров’я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ініціювала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своїм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листом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ще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лютому 2019 року.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Цим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рішенням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кошти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були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передбачені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забезпечення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препаратами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інсуліну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пацієнтів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цукровим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діабетом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Програмі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медичних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гарантій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були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спрямовані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субвенцію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для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регіонів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6" w:tgtFrame="_blank" w:history="1">
                    <w:r w:rsidRPr="00E11151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E11151" w:rsidRPr="00E11151" w:rsidRDefault="00E11151" w:rsidP="00E1115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E11151" w:rsidRPr="00E11151" w:rsidRDefault="00E11151" w:rsidP="00E11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1151" w:rsidRPr="00E11151" w:rsidTr="00E11151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E11151" w:rsidRPr="00E11151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151" w:rsidRPr="00E11151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Детальна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інформація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коронавірус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COVID-19</w:t>
                  </w:r>
                </w:p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Уникайте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час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пандемії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паніки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Приймайте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для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внутрішнього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спокою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не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пігулки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достовірну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зрозумілу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інформацію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сайті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НСЗУ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з’явився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новий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розділ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присвячений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COVID-19, де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зможете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знайти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відповіді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найпоширеніші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запитання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7" w:tgtFrame="_blank" w:history="1">
                    <w:r w:rsidRPr="00E11151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E11151" w:rsidRPr="00E11151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151" w:rsidRPr="00E11151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Безкоштовні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хвилини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мобільного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зв’язку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медиків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Лікарі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надають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первинну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допомогу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можуть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отримати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хвилини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безкоштовних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розмов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мобільний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інтернет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Проєкт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реалізується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підтримки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НСЗУ.</w:t>
                  </w:r>
                </w:p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8" w:tgtFrame="_blank" w:history="1">
                    <w:r w:rsidRPr="00E11151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E11151" w:rsidRPr="00E11151" w:rsidRDefault="00E11151" w:rsidP="00E1115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E11151" w:rsidRPr="00E11151" w:rsidRDefault="00E11151" w:rsidP="00E11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1151" w:rsidRPr="00E11151" w:rsidTr="00E11151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11151" w:rsidRPr="00E11151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0076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E11151" w:rsidRPr="00E11151">
                    <w:tc>
                      <w:tcPr>
                        <w:tcW w:w="0" w:type="auto"/>
                        <w:shd w:val="clear" w:color="auto" w:fill="0076B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E11151" w:rsidRPr="00E11151" w:rsidRDefault="00E11151" w:rsidP="00E11151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E1115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36"/>
                            <w:szCs w:val="36"/>
                            <w:lang w:eastAsia="ru-RU"/>
                          </w:rPr>
                          <w:lastRenderedPageBreak/>
                          <w:t>В А Ж Л И В О</w:t>
                        </w:r>
                      </w:p>
                    </w:tc>
                  </w:tr>
                </w:tbl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1151" w:rsidRPr="00E11151" w:rsidRDefault="00E11151" w:rsidP="00E1115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E11151" w:rsidRPr="00E11151" w:rsidRDefault="00E11151" w:rsidP="00E11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1151" w:rsidRPr="00E11151" w:rsidTr="00E11151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E11151" w:rsidRPr="00E11151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151" w:rsidRPr="00E11151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ru-RU"/>
                    </w:rPr>
                    <w:t xml:space="preserve">Як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ru-RU"/>
                    </w:rPr>
                    <w:t>підписати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ru-RU"/>
                    </w:rPr>
                    <w:t>договір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ru-RU"/>
                    </w:rPr>
                    <w:t xml:space="preserve">.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ru-RU"/>
                    </w:rPr>
                    <w:t>Інструкція</w:t>
                  </w:r>
                  <w:proofErr w:type="spellEnd"/>
                </w:p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Найближчим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часом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заклади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що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надають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спеціалізовану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медичну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допомогу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отримають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від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НСЗУ договори з сумами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фінансування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Договір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потрібно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 xml:space="preserve"> буде оперативно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підписати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9" w:tgtFrame="_blank" w:history="1">
                    <w:r w:rsidRPr="00E11151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E11151" w:rsidRPr="00E11151" w:rsidRDefault="00E11151" w:rsidP="00E1115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E11151" w:rsidRPr="00E11151" w:rsidRDefault="00E11151" w:rsidP="00E11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1151" w:rsidRPr="00E11151" w:rsidTr="00E11151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11151" w:rsidRPr="00E11151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0076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E11151" w:rsidRPr="00E11151">
                    <w:tc>
                      <w:tcPr>
                        <w:tcW w:w="0" w:type="auto"/>
                        <w:shd w:val="clear" w:color="auto" w:fill="0076B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E11151" w:rsidRPr="00E11151" w:rsidRDefault="00E11151" w:rsidP="00E11151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E1115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27"/>
                            <w:szCs w:val="27"/>
                            <w:lang w:eastAsia="ru-RU"/>
                          </w:rPr>
                          <w:t>Н О В И Н И   П А Р Т Н Е Р І В</w:t>
                        </w:r>
                      </w:p>
                    </w:tc>
                  </w:tr>
                </w:tbl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1151" w:rsidRPr="00E11151" w:rsidRDefault="00E11151" w:rsidP="00E1115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E11151" w:rsidRPr="00E11151" w:rsidRDefault="00E11151" w:rsidP="00E11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1151" w:rsidRPr="00E11151" w:rsidTr="00E11151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E11151" w:rsidRPr="00E11151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151" w:rsidRPr="00E11151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Оперативна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інформація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поширення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коронавірусної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інфекції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COVID-19</w:t>
                  </w:r>
                </w:p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За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даними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Центру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громадського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здоров’я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станом на 10:00 25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березня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113 лабораторно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підтверджених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випадків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 COVID</w:t>
                  </w:r>
                  <w:proofErr w:type="gram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-19, з них 4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летальні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1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пацієнт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одужав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вже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виписаний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лікарні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За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добу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було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зафіксовано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29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нових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випадків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Виявлено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перші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випадки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інфікування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Волинській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Одеській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Луганській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Запорізькій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областях.</w:t>
                  </w:r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10" w:tgtFrame="_blank" w:history="1">
                    <w:r w:rsidRPr="00E11151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E11151" w:rsidRPr="00E11151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151" w:rsidRPr="00E11151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E11151" w:rsidRPr="00E11151" w:rsidRDefault="00E11151" w:rsidP="00E1115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Імунізація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умовах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пандемії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 xml:space="preserve"> COVID-19</w:t>
                  </w:r>
                </w:p>
                <w:p w:rsidR="00E11151" w:rsidRPr="00E11151" w:rsidRDefault="00E11151" w:rsidP="00E11151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Згідно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із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instrText xml:space="preserve"> HYPERLINK "https://moz.us14.list-manage.com/track/click?u=83d04fa616492be353124a22d&amp;id=f3162befc0&amp;e=bbc31fd2d2" \t "_blank" </w:instrText>
                  </w:r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E11151">
                    <w:rPr>
                      <w:rFonts w:ascii="Helvetica" w:eastAsia="Times New Roman" w:hAnsi="Helvetica" w:cs="Helvetica"/>
                      <w:color w:val="007C89"/>
                      <w:sz w:val="18"/>
                      <w:szCs w:val="18"/>
                      <w:u w:val="single"/>
                      <w:lang w:eastAsia="ru-RU"/>
                    </w:rPr>
                    <w:t>рекомендаціями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007C89"/>
                      <w:sz w:val="18"/>
                      <w:szCs w:val="18"/>
                      <w:u w:val="single"/>
                      <w:lang w:eastAsia="ru-RU"/>
                    </w:rPr>
                    <w:t xml:space="preserve"> ВООЗ</w:t>
                  </w:r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fldChar w:fldCharType="end"/>
                  </w:r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, будь-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переривання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рутинної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планової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—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відповідно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до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національного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календаря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щеплень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) 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імунізації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навіть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короткий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період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призведуть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до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підвищення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ймовірності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спалахів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вакцинокерованих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інфекцій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або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зростання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кількості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випадків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захворювань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яким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можна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запобігти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шляхом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вакцинації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Це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буде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додатковим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навантаженням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системи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здоров’я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країнах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вже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й так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перевантажені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через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пандемію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COVID-19.</w:t>
                  </w:r>
                  <w:r w:rsidRPr="00E1115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E11151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11" w:tgtFrame="_blank" w:history="1">
                    <w:r w:rsidRPr="00E11151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E11151" w:rsidRPr="00E11151" w:rsidRDefault="00E11151" w:rsidP="00E1115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697CC1" w:rsidRDefault="00697CC1">
      <w:bookmarkStart w:id="0" w:name="_GoBack"/>
      <w:bookmarkEnd w:id="0"/>
    </w:p>
    <w:sectPr w:rsidR="0069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51"/>
    <w:rsid w:val="00697CC1"/>
    <w:rsid w:val="00E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3663"/>
  <w15:chartTrackingRefBased/>
  <w15:docId w15:val="{0F5F3763-0C65-4315-B1E5-5E44C3A3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us14.list-manage.com/track/click?u=83d04fa616492be353124a22d&amp;id=bba1e63dcb&amp;e=bbc31fd2d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z.us14.list-manage.com/track/click?u=83d04fa616492be353124a22d&amp;id=27a8a52182&amp;e=bbc31fd2d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z.us14.list-manage.com/track/click?u=83d04fa616492be353124a22d&amp;id=f420c35fdc&amp;e=bbc31fd2d2" TargetMode="External"/><Relationship Id="rId11" Type="http://schemas.openxmlformats.org/officeDocument/2006/relationships/hyperlink" Target="https://moz.us14.list-manage.com/track/click?u=83d04fa616492be353124a22d&amp;id=276f9b7ae4&amp;e=bbc31fd2d2" TargetMode="External"/><Relationship Id="rId5" Type="http://schemas.openxmlformats.org/officeDocument/2006/relationships/hyperlink" Target="https://moz.us14.list-manage.com/track/click?u=83d04fa616492be353124a22d&amp;id=c52aabc655&amp;e=bbc31fd2d2" TargetMode="External"/><Relationship Id="rId10" Type="http://schemas.openxmlformats.org/officeDocument/2006/relationships/hyperlink" Target="https://moz.us14.list-manage.com/track/click?u=83d04fa616492be353124a22d&amp;id=edb369f425&amp;e=bbc31fd2d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oz.us14.list-manage.com/track/click?u=83d04fa616492be353124a22d&amp;id=3c2e007de9&amp;e=bbc31fd2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1</cp:revision>
  <dcterms:created xsi:type="dcterms:W3CDTF">2020-03-26T10:58:00Z</dcterms:created>
  <dcterms:modified xsi:type="dcterms:W3CDTF">2020-03-26T10:59:00Z</dcterms:modified>
</cp:coreProperties>
</file>